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Real Estate Underwriting Rubric</w:t>
      </w:r>
    </w:p>
    <w:p>
      <w:r>
        <w:t>Use this rubric to evaluate any potential real estate investment before committing. Score each category from 1 (poor) to 5 (excellent).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Factor</w:t>
            </w:r>
          </w:p>
        </w:tc>
        <w:tc>
          <w:tcPr>
            <w:tcW w:type="dxa" w:w="1728"/>
          </w:tcPr>
          <w:p>
            <w:r>
              <w:t>Definition</w:t>
            </w:r>
          </w:p>
        </w:tc>
        <w:tc>
          <w:tcPr>
            <w:tcW w:type="dxa" w:w="1728"/>
          </w:tcPr>
          <w:p>
            <w:r>
              <w:t>Target / Benchmark</w:t>
            </w:r>
          </w:p>
        </w:tc>
        <w:tc>
          <w:tcPr>
            <w:tcW w:type="dxa" w:w="1728"/>
          </w:tcPr>
          <w:p>
            <w:r>
              <w:t>Score (1-5)</w:t>
            </w:r>
          </w:p>
        </w:tc>
        <w:tc>
          <w:tcPr>
            <w:tcW w:type="dxa" w:w="1728"/>
          </w:tcPr>
          <w:p>
            <w:r>
              <w:t>Notes</w:t>
            </w:r>
          </w:p>
        </w:tc>
      </w:tr>
      <w:tr>
        <w:tc>
          <w:tcPr>
            <w:tcW w:type="dxa" w:w="1728"/>
          </w:tcPr>
          <w:p>
            <w:r>
              <w:t>Cap Rate</w:t>
            </w:r>
          </w:p>
        </w:tc>
        <w:tc>
          <w:tcPr>
            <w:tcW w:type="dxa" w:w="1728"/>
          </w:tcPr>
          <w:p>
            <w:r>
              <w:t>Net Operating Income ÷ Purchase Price</w:t>
            </w:r>
          </w:p>
        </w:tc>
        <w:tc>
          <w:tcPr>
            <w:tcW w:type="dxa" w:w="1728"/>
          </w:tcPr>
          <w:p>
            <w:r>
              <w:t>6–8%+ (market dependent)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IRR</w:t>
            </w:r>
          </w:p>
        </w:tc>
        <w:tc>
          <w:tcPr>
            <w:tcW w:type="dxa" w:w="1728"/>
          </w:tcPr>
          <w:p>
            <w:r>
              <w:t>Time-adjusted return incl. cash flow + exit</w:t>
            </w:r>
          </w:p>
        </w:tc>
        <w:tc>
          <w:tcPr>
            <w:tcW w:type="dxa" w:w="1728"/>
          </w:tcPr>
          <w:p>
            <w:r>
              <w:t>12–18%+ for value-add deals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DSCR</w:t>
            </w:r>
          </w:p>
        </w:tc>
        <w:tc>
          <w:tcPr>
            <w:tcW w:type="dxa" w:w="1728"/>
          </w:tcPr>
          <w:p>
            <w:r>
              <w:t>Debt Service Coverage Ratio</w:t>
            </w:r>
          </w:p>
        </w:tc>
        <w:tc>
          <w:tcPr>
            <w:tcW w:type="dxa" w:w="1728"/>
          </w:tcPr>
          <w:p>
            <w:r>
              <w:t>≥ 1.25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Exit Timeline</w:t>
            </w:r>
          </w:p>
        </w:tc>
        <w:tc>
          <w:tcPr>
            <w:tcW w:type="dxa" w:w="1728"/>
          </w:tcPr>
          <w:p>
            <w:r>
              <w:t>When/how capital returned</w:t>
            </w:r>
          </w:p>
        </w:tc>
        <w:tc>
          <w:tcPr>
            <w:tcW w:type="dxa" w:w="1728"/>
          </w:tcPr>
          <w:p>
            <w:r>
              <w:t>3–7 years typical syndication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Sponsor Track Record</w:t>
            </w:r>
          </w:p>
        </w:tc>
        <w:tc>
          <w:tcPr>
            <w:tcW w:type="dxa" w:w="1728"/>
          </w:tcPr>
          <w:p>
            <w:r>
              <w:t>Past deals, communication, reporting</w:t>
            </w:r>
          </w:p>
        </w:tc>
        <w:tc>
          <w:tcPr>
            <w:tcW w:type="dxa" w:w="1728"/>
          </w:tcPr>
          <w:p>
            <w:r>
              <w:t>3+ successful exits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Market Fundamentals</w:t>
            </w:r>
          </w:p>
        </w:tc>
        <w:tc>
          <w:tcPr>
            <w:tcW w:type="dxa" w:w="1728"/>
          </w:tcPr>
          <w:p>
            <w:r>
              <w:t>Jobs, population growth, supply/demand</w:t>
            </w:r>
          </w:p>
        </w:tc>
        <w:tc>
          <w:tcPr>
            <w:tcW w:type="dxa" w:w="1728"/>
          </w:tcPr>
          <w:p>
            <w:r>
              <w:t>Positive trends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