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Regulatory Pathways Quick Guide</w:t>
      </w:r>
    </w:p>
    <w:p>
      <w:r>
        <w:t>This guide summarizes the main regulatory pathways for MedTech devices and pharmaceuticals, with timelines, costs, and risks.</w:t>
      </w:r>
    </w:p>
    <w:p>
      <w:pPr>
        <w:pStyle w:val="Heading2"/>
      </w:pPr>
      <w:r>
        <w:t>Medical Devices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Pathway</w:t>
            </w:r>
          </w:p>
        </w:tc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Typical Timeline</w:t>
            </w:r>
          </w:p>
        </w:tc>
        <w:tc>
          <w:tcPr>
            <w:tcW w:type="dxa" w:w="2160"/>
          </w:tcPr>
          <w:p>
            <w:r>
              <w:t>Risk/Cost</w:t>
            </w:r>
          </w:p>
        </w:tc>
      </w:tr>
      <w:tr>
        <w:tc>
          <w:tcPr>
            <w:tcW w:type="dxa" w:w="2160"/>
          </w:tcPr>
          <w:p>
            <w:r>
              <w:t>510(k)</w:t>
            </w:r>
          </w:p>
        </w:tc>
        <w:tc>
          <w:tcPr>
            <w:tcW w:type="dxa" w:w="2160"/>
          </w:tcPr>
          <w:p>
            <w:r>
              <w:t>Demonstrate substantial equivalence to existing device</w:t>
            </w:r>
          </w:p>
        </w:tc>
        <w:tc>
          <w:tcPr>
            <w:tcW w:type="dxa" w:w="2160"/>
          </w:tcPr>
          <w:p>
            <w:r>
              <w:t>6–12 months</w:t>
            </w:r>
          </w:p>
        </w:tc>
        <w:tc>
          <w:tcPr>
            <w:tcW w:type="dxa" w:w="2160"/>
          </w:tcPr>
          <w:p>
            <w:r>
              <w:t>Low–moderate cost, moderate risk</w:t>
            </w:r>
          </w:p>
        </w:tc>
      </w:tr>
      <w:tr>
        <w:tc>
          <w:tcPr>
            <w:tcW w:type="dxa" w:w="2160"/>
          </w:tcPr>
          <w:p>
            <w:r>
              <w:t>De Novo</w:t>
            </w:r>
          </w:p>
        </w:tc>
        <w:tc>
          <w:tcPr>
            <w:tcW w:type="dxa" w:w="2160"/>
          </w:tcPr>
          <w:p>
            <w:r>
              <w:t>For novel low–moderate risk devices, no predicate</w:t>
            </w:r>
          </w:p>
        </w:tc>
        <w:tc>
          <w:tcPr>
            <w:tcW w:type="dxa" w:w="2160"/>
          </w:tcPr>
          <w:p>
            <w:r>
              <w:t>12–18 months</w:t>
            </w:r>
          </w:p>
        </w:tc>
        <w:tc>
          <w:tcPr>
            <w:tcW w:type="dxa" w:w="2160"/>
          </w:tcPr>
          <w:p>
            <w:r>
              <w:t>Moderate cost, moderate risk</w:t>
            </w:r>
          </w:p>
        </w:tc>
      </w:tr>
      <w:tr>
        <w:tc>
          <w:tcPr>
            <w:tcW w:type="dxa" w:w="2160"/>
          </w:tcPr>
          <w:p>
            <w:r>
              <w:t>PMA</w:t>
            </w:r>
          </w:p>
        </w:tc>
        <w:tc>
          <w:tcPr>
            <w:tcW w:type="dxa" w:w="2160"/>
          </w:tcPr>
          <w:p>
            <w:r>
              <w:t>Premarket approval, highest bar for Class III devices</w:t>
            </w:r>
          </w:p>
        </w:tc>
        <w:tc>
          <w:tcPr>
            <w:tcW w:type="dxa" w:w="2160"/>
          </w:tcPr>
          <w:p>
            <w:r>
              <w:t>2–5 years</w:t>
            </w:r>
          </w:p>
        </w:tc>
        <w:tc>
          <w:tcPr>
            <w:tcW w:type="dxa" w:w="2160"/>
          </w:tcPr>
          <w:p>
            <w:r>
              <w:t>High cost, high risk</w:t>
            </w:r>
          </w:p>
        </w:tc>
      </w:tr>
    </w:tbl>
    <w:p>
      <w:pPr>
        <w:pStyle w:val="Heading2"/>
      </w:pPr>
      <w:r>
        <w:t>Pharmaceuticals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Phase</w:t>
            </w:r>
          </w:p>
        </w:tc>
        <w:tc>
          <w:tcPr>
            <w:tcW w:type="dxa" w:w="2160"/>
          </w:tcPr>
          <w:p>
            <w:r>
              <w:t>Goal</w:t>
            </w:r>
          </w:p>
        </w:tc>
        <w:tc>
          <w:tcPr>
            <w:tcW w:type="dxa" w:w="2160"/>
          </w:tcPr>
          <w:p>
            <w:r>
              <w:t>Timeline</w:t>
            </w:r>
          </w:p>
        </w:tc>
        <w:tc>
          <w:tcPr>
            <w:tcW w:type="dxa" w:w="2160"/>
          </w:tcPr>
          <w:p>
            <w:r>
              <w:t>Risk/Cost</w:t>
            </w:r>
          </w:p>
        </w:tc>
      </w:tr>
      <w:tr>
        <w:tc>
          <w:tcPr>
            <w:tcW w:type="dxa" w:w="2160"/>
          </w:tcPr>
          <w:p>
            <w:r>
              <w:t>Phase I</w:t>
            </w:r>
          </w:p>
        </w:tc>
        <w:tc>
          <w:tcPr>
            <w:tcW w:type="dxa" w:w="2160"/>
          </w:tcPr>
          <w:p>
            <w:r>
              <w:t>Safety, dosage</w:t>
            </w:r>
          </w:p>
        </w:tc>
        <w:tc>
          <w:tcPr>
            <w:tcW w:type="dxa" w:w="2160"/>
          </w:tcPr>
          <w:p>
            <w:r>
              <w:t>1–2 years</w:t>
            </w:r>
          </w:p>
        </w:tc>
        <w:tc>
          <w:tcPr>
            <w:tcW w:type="dxa" w:w="2160"/>
          </w:tcPr>
          <w:p>
            <w:r>
              <w:t>High risk, expensive</w:t>
            </w:r>
          </w:p>
        </w:tc>
      </w:tr>
      <w:tr>
        <w:tc>
          <w:tcPr>
            <w:tcW w:type="dxa" w:w="2160"/>
          </w:tcPr>
          <w:p>
            <w:r>
              <w:t>Phase II</w:t>
            </w:r>
          </w:p>
        </w:tc>
        <w:tc>
          <w:tcPr>
            <w:tcW w:type="dxa" w:w="2160"/>
          </w:tcPr>
          <w:p>
            <w:r>
              <w:t>Efficacy, side effects</w:t>
            </w:r>
          </w:p>
        </w:tc>
        <w:tc>
          <w:tcPr>
            <w:tcW w:type="dxa" w:w="2160"/>
          </w:tcPr>
          <w:p>
            <w:r>
              <w:t>2–3 years</w:t>
            </w:r>
          </w:p>
        </w:tc>
        <w:tc>
          <w:tcPr>
            <w:tcW w:type="dxa" w:w="2160"/>
          </w:tcPr>
          <w:p>
            <w:r>
              <w:t>High risk, expensive</w:t>
            </w:r>
          </w:p>
        </w:tc>
      </w:tr>
      <w:tr>
        <w:tc>
          <w:tcPr>
            <w:tcW w:type="dxa" w:w="2160"/>
          </w:tcPr>
          <w:p>
            <w:r>
              <w:t>Phase III</w:t>
            </w:r>
          </w:p>
        </w:tc>
        <w:tc>
          <w:tcPr>
            <w:tcW w:type="dxa" w:w="2160"/>
          </w:tcPr>
          <w:p>
            <w:r>
              <w:t>Confirm efficacy, monitor adverse reactions</w:t>
            </w:r>
          </w:p>
        </w:tc>
        <w:tc>
          <w:tcPr>
            <w:tcW w:type="dxa" w:w="2160"/>
          </w:tcPr>
          <w:p>
            <w:r>
              <w:t>3–5 years</w:t>
            </w:r>
          </w:p>
        </w:tc>
        <w:tc>
          <w:tcPr>
            <w:tcW w:type="dxa" w:w="2160"/>
          </w:tcPr>
          <w:p>
            <w:r>
              <w:t>Very high cost, large trials</w:t>
            </w:r>
          </w:p>
        </w:tc>
      </w:tr>
      <w:tr>
        <w:tc>
          <w:tcPr>
            <w:tcW w:type="dxa" w:w="2160"/>
          </w:tcPr>
          <w:p>
            <w:r>
              <w:t>Phase IV</w:t>
            </w:r>
          </w:p>
        </w:tc>
        <w:tc>
          <w:tcPr>
            <w:tcW w:type="dxa" w:w="2160"/>
          </w:tcPr>
          <w:p>
            <w:r>
              <w:t>Post-marketing surveillance</w:t>
            </w:r>
          </w:p>
        </w:tc>
        <w:tc>
          <w:tcPr>
            <w:tcW w:type="dxa" w:w="2160"/>
          </w:tcPr>
          <w:p>
            <w:r>
              <w:t>Ongoing</w:t>
            </w:r>
          </w:p>
        </w:tc>
        <w:tc>
          <w:tcPr>
            <w:tcW w:type="dxa" w:w="2160"/>
          </w:tcPr>
          <w:p>
            <w:r>
              <w:t>Variable cost, monitors long-term safety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