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VC Rounds &amp; Milestones Cheat Sheet</w:t>
      </w:r>
    </w:p>
    <w:p>
      <w:r>
        <w:t>Use this sheet to understand what each funding round is designed to achieve, what investors expect, and typical dilution/valuation ranges.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Round</w:t>
            </w:r>
          </w:p>
        </w:tc>
        <w:tc>
          <w:tcPr>
            <w:tcW w:type="dxa" w:w="1728"/>
          </w:tcPr>
          <w:p>
            <w:r>
              <w:t>Purpose</w:t>
            </w:r>
          </w:p>
        </w:tc>
        <w:tc>
          <w:tcPr>
            <w:tcW w:type="dxa" w:w="1728"/>
          </w:tcPr>
          <w:p>
            <w:r>
              <w:t>Investors</w:t>
            </w:r>
          </w:p>
        </w:tc>
        <w:tc>
          <w:tcPr>
            <w:tcW w:type="dxa" w:w="1728"/>
          </w:tcPr>
          <w:p>
            <w:r>
              <w:t>Key Milestones</w:t>
            </w:r>
          </w:p>
        </w:tc>
        <w:tc>
          <w:tcPr>
            <w:tcW w:type="dxa" w:w="1728"/>
          </w:tcPr>
          <w:p>
            <w:r>
              <w:t>Typical Dilution</w:t>
            </w:r>
          </w:p>
        </w:tc>
      </w:tr>
      <w:tr>
        <w:tc>
          <w:tcPr>
            <w:tcW w:type="dxa" w:w="1728"/>
          </w:tcPr>
          <w:p>
            <w:r>
              <w:t>Pre-Seed</w:t>
            </w:r>
          </w:p>
        </w:tc>
        <w:tc>
          <w:tcPr>
            <w:tcW w:type="dxa" w:w="1728"/>
          </w:tcPr>
          <w:p>
            <w:r>
              <w:t>Idea, prototype, first hires</w:t>
            </w:r>
          </w:p>
        </w:tc>
        <w:tc>
          <w:tcPr>
            <w:tcW w:type="dxa" w:w="1728"/>
          </w:tcPr>
          <w:p>
            <w:r>
              <w:t>Founder capital, angels, small checks</w:t>
            </w:r>
          </w:p>
        </w:tc>
        <w:tc>
          <w:tcPr>
            <w:tcW w:type="dxa" w:w="1728"/>
          </w:tcPr>
          <w:p>
            <w:r>
              <w:t>MVP built, early validation</w:t>
            </w:r>
          </w:p>
        </w:tc>
        <w:tc>
          <w:tcPr>
            <w:tcW w:type="dxa" w:w="1728"/>
          </w:tcPr>
          <w:p>
            <w:r>
              <w:t>5–15%</w:t>
            </w:r>
          </w:p>
        </w:tc>
      </w:tr>
      <w:tr>
        <w:tc>
          <w:tcPr>
            <w:tcW w:type="dxa" w:w="1728"/>
          </w:tcPr>
          <w:p>
            <w:r>
              <w:t>Seed</w:t>
            </w:r>
          </w:p>
        </w:tc>
        <w:tc>
          <w:tcPr>
            <w:tcW w:type="dxa" w:w="1728"/>
          </w:tcPr>
          <w:p>
            <w:r>
              <w:t>Prove product-market fit</w:t>
            </w:r>
          </w:p>
        </w:tc>
        <w:tc>
          <w:tcPr>
            <w:tcW w:type="dxa" w:w="1728"/>
          </w:tcPr>
          <w:p>
            <w:r>
              <w:t>Angels, seed funds</w:t>
            </w:r>
          </w:p>
        </w:tc>
        <w:tc>
          <w:tcPr>
            <w:tcW w:type="dxa" w:w="1728"/>
          </w:tcPr>
          <w:p>
            <w:r>
              <w:t>Traction: first customers, usage growth</w:t>
            </w:r>
          </w:p>
        </w:tc>
        <w:tc>
          <w:tcPr>
            <w:tcW w:type="dxa" w:w="1728"/>
          </w:tcPr>
          <w:p>
            <w:r>
              <w:t>10–25%</w:t>
            </w:r>
          </w:p>
        </w:tc>
      </w:tr>
      <w:tr>
        <w:tc>
          <w:tcPr>
            <w:tcW w:type="dxa" w:w="1728"/>
          </w:tcPr>
          <w:p>
            <w:r>
              <w:t>Series A</w:t>
            </w:r>
          </w:p>
        </w:tc>
        <w:tc>
          <w:tcPr>
            <w:tcW w:type="dxa" w:w="1728"/>
          </w:tcPr>
          <w:p>
            <w:r>
              <w:t>Scale product-market fit</w:t>
            </w:r>
          </w:p>
        </w:tc>
        <w:tc>
          <w:tcPr>
            <w:tcW w:type="dxa" w:w="1728"/>
          </w:tcPr>
          <w:p>
            <w:r>
              <w:t>VC funds</w:t>
            </w:r>
          </w:p>
        </w:tc>
        <w:tc>
          <w:tcPr>
            <w:tcW w:type="dxa" w:w="1728"/>
          </w:tcPr>
          <w:p>
            <w:r>
              <w:t>Repeatable acquisition, CAC/LTV proven</w:t>
            </w:r>
          </w:p>
        </w:tc>
        <w:tc>
          <w:tcPr>
            <w:tcW w:type="dxa" w:w="1728"/>
          </w:tcPr>
          <w:p>
            <w:r>
              <w:t>15–25%</w:t>
            </w:r>
          </w:p>
        </w:tc>
      </w:tr>
      <w:tr>
        <w:tc>
          <w:tcPr>
            <w:tcW w:type="dxa" w:w="1728"/>
          </w:tcPr>
          <w:p>
            <w:r>
              <w:t>Series B</w:t>
            </w:r>
          </w:p>
        </w:tc>
        <w:tc>
          <w:tcPr>
            <w:tcW w:type="dxa" w:w="1728"/>
          </w:tcPr>
          <w:p>
            <w:r>
              <w:t>Scale operations</w:t>
            </w:r>
          </w:p>
        </w:tc>
        <w:tc>
          <w:tcPr>
            <w:tcW w:type="dxa" w:w="1728"/>
          </w:tcPr>
          <w:p>
            <w:r>
              <w:t>VC growth funds</w:t>
            </w:r>
          </w:p>
        </w:tc>
        <w:tc>
          <w:tcPr>
            <w:tcW w:type="dxa" w:w="1728"/>
          </w:tcPr>
          <w:p>
            <w:r>
              <w:t>Revenue growth, team scaling</w:t>
            </w:r>
          </w:p>
        </w:tc>
        <w:tc>
          <w:tcPr>
            <w:tcW w:type="dxa" w:w="1728"/>
          </w:tcPr>
          <w:p>
            <w:r>
              <w:t>15–25%</w:t>
            </w:r>
          </w:p>
        </w:tc>
      </w:tr>
      <w:tr>
        <w:tc>
          <w:tcPr>
            <w:tcW w:type="dxa" w:w="1728"/>
          </w:tcPr>
          <w:p>
            <w:r>
              <w:t>Series C+</w:t>
            </w:r>
          </w:p>
        </w:tc>
        <w:tc>
          <w:tcPr>
            <w:tcW w:type="dxa" w:w="1728"/>
          </w:tcPr>
          <w:p>
            <w:r>
              <w:t>Expansion, pre-IPO prep</w:t>
            </w:r>
          </w:p>
        </w:tc>
        <w:tc>
          <w:tcPr>
            <w:tcW w:type="dxa" w:w="1728"/>
          </w:tcPr>
          <w:p>
            <w:r>
              <w:t>Late-stage VC, PE, strategics</w:t>
            </w:r>
          </w:p>
        </w:tc>
        <w:tc>
          <w:tcPr>
            <w:tcW w:type="dxa" w:w="1728"/>
          </w:tcPr>
          <w:p>
            <w:r>
              <w:t>Global expansion, M&amp;A, path to IPO</w:t>
            </w:r>
          </w:p>
        </w:tc>
        <w:tc>
          <w:tcPr>
            <w:tcW w:type="dxa" w:w="1728"/>
          </w:tcPr>
          <w:p>
            <w:r>
              <w:t>10–20%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