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header"/>
    <w:bookmarkEnd w:id="20"/>
    <w:bookmarkStart w:id="29" w:name="content"/>
    <w:bookmarkStart w:id="28" w:name="deal-evaluation-checklist"/>
    <w:p>
      <w:pPr>
        <w:pStyle w:val="Heading1"/>
      </w:pPr>
      <w:r>
        <w:t xml:space="preserve">Deal Evaluation Checklist</w:t>
      </w:r>
    </w:p>
    <w:p>
      <w:pPr>
        <w:pStyle w:val="FirstParagraph"/>
      </w:pPr>
      <w:r>
        <w:t xml:space="preserve">Use this checklist before committing to an investment in real estate, private equity, or other alternative assets. Each section includes critical questions to ask yourself and the sponsor or seller. Print this checklist or adapt it to your preferred note system.</w:t>
      </w:r>
    </w:p>
    <w:bookmarkStart w:id="21" w:name="risk-assessment"/>
    <w:p>
      <w:pPr>
        <w:pStyle w:val="Heading2"/>
      </w:pPr>
      <w:r>
        <w:t xml:space="preserve">1. Risk Assessment</w:t>
      </w:r>
    </w:p>
    <w:p>
      <w:pPr>
        <w:pStyle w:val="Compact"/>
        <w:numPr>
          <w:ilvl w:val="0"/>
          <w:numId w:val="1001"/>
        </w:numPr>
      </w:pPr>
      <w:r>
        <w:rPr>
          <w:b/>
          <w:bCs/>
        </w:rPr>
        <w:t xml:space="preserve">What is the actual downside?</w:t>
      </w:r>
      <w:r>
        <w:t xml:space="preserve"> </w:t>
      </w:r>
      <w:r>
        <w:t xml:space="preserve">Is there a possibility of losing the entire investment? What would a worst‑case scenario look like?</w:t>
      </w:r>
    </w:p>
    <w:p>
      <w:pPr>
        <w:pStyle w:val="Compact"/>
        <w:numPr>
          <w:ilvl w:val="0"/>
          <w:numId w:val="1001"/>
        </w:numPr>
      </w:pPr>
      <w:r>
        <w:rPr>
          <w:b/>
          <w:bCs/>
        </w:rPr>
        <w:t xml:space="preserve">What needs to go right for this to succeed?</w:t>
      </w:r>
      <w:r>
        <w:t xml:space="preserve"> </w:t>
      </w:r>
      <w:r>
        <w:t xml:space="preserve">Identify the key drivers of success (e.g. rental occupancy, market growth, operational efficiency).</w:t>
      </w:r>
    </w:p>
    <w:p>
      <w:pPr>
        <w:pStyle w:val="Compact"/>
        <w:numPr>
          <w:ilvl w:val="0"/>
          <w:numId w:val="1001"/>
        </w:numPr>
      </w:pPr>
      <w:r>
        <w:rPr>
          <w:b/>
          <w:bCs/>
        </w:rPr>
        <w:t xml:space="preserve">What protections are in place?</w:t>
      </w:r>
      <w:r>
        <w:t xml:space="preserve"> </w:t>
      </w:r>
      <w:r>
        <w:t xml:space="preserve">Collateral, insurance, personal guarantees, or contractual recourse.</w:t>
      </w:r>
    </w:p>
    <w:bookmarkEnd w:id="21"/>
    <w:bookmarkStart w:id="22" w:name="timeline-and-liquidity"/>
    <w:p>
      <w:pPr>
        <w:pStyle w:val="Heading2"/>
      </w:pPr>
      <w:r>
        <w:t xml:space="preserve">2. Timeline and Liquidity</w:t>
      </w:r>
    </w:p>
    <w:p>
      <w:pPr>
        <w:pStyle w:val="Compact"/>
        <w:numPr>
          <w:ilvl w:val="0"/>
          <w:numId w:val="1002"/>
        </w:numPr>
      </w:pPr>
      <w:r>
        <w:rPr>
          <w:b/>
          <w:bCs/>
        </w:rPr>
        <w:t xml:space="preserve">When will capital be returned?</w:t>
      </w:r>
      <w:r>
        <w:t xml:space="preserve"> </w:t>
      </w:r>
      <w:r>
        <w:t xml:space="preserve">Understand the expected hold period and exit strategy.</w:t>
      </w:r>
    </w:p>
    <w:p>
      <w:pPr>
        <w:pStyle w:val="Compact"/>
        <w:numPr>
          <w:ilvl w:val="0"/>
          <w:numId w:val="1002"/>
        </w:numPr>
      </w:pPr>
      <w:r>
        <w:rPr>
          <w:b/>
          <w:bCs/>
        </w:rPr>
        <w:t xml:space="preserve">Is early exit possible?</w:t>
      </w:r>
      <w:r>
        <w:t xml:space="preserve"> </w:t>
      </w:r>
      <w:r>
        <w:t xml:space="preserve">Can you sell your interest or redeem your investment if needed?</w:t>
      </w:r>
    </w:p>
    <w:p>
      <w:pPr>
        <w:pStyle w:val="Compact"/>
        <w:numPr>
          <w:ilvl w:val="0"/>
          <w:numId w:val="1002"/>
        </w:numPr>
      </w:pPr>
      <w:r>
        <w:rPr>
          <w:b/>
          <w:bCs/>
        </w:rPr>
        <w:t xml:space="preserve">How long can you afford to lock up funds?</w:t>
      </w:r>
      <w:r>
        <w:t xml:space="preserve"> </w:t>
      </w:r>
      <w:r>
        <w:t xml:space="preserve">Match the timeline to your liquidity needs.</w:t>
      </w:r>
    </w:p>
    <w:bookmarkEnd w:id="22"/>
    <w:bookmarkStart w:id="23" w:name="people-and-partners"/>
    <w:p>
      <w:pPr>
        <w:pStyle w:val="Heading2"/>
      </w:pPr>
      <w:r>
        <w:t xml:space="preserve">3. People and Partners</w:t>
      </w:r>
    </w:p>
    <w:p>
      <w:pPr>
        <w:pStyle w:val="Compact"/>
        <w:numPr>
          <w:ilvl w:val="0"/>
          <w:numId w:val="1003"/>
        </w:numPr>
      </w:pPr>
      <w:r>
        <w:rPr>
          <w:b/>
          <w:bCs/>
        </w:rPr>
        <w:t xml:space="preserve">Who is running the deal?</w:t>
      </w:r>
      <w:r>
        <w:t xml:space="preserve"> </w:t>
      </w:r>
      <w:r>
        <w:t xml:space="preserve">Review the track record of sponsors, operators, or fund managers.</w:t>
      </w:r>
    </w:p>
    <w:p>
      <w:pPr>
        <w:pStyle w:val="Compact"/>
        <w:numPr>
          <w:ilvl w:val="0"/>
          <w:numId w:val="1003"/>
        </w:numPr>
      </w:pPr>
      <w:r>
        <w:rPr>
          <w:b/>
          <w:bCs/>
        </w:rPr>
        <w:t xml:space="preserve">Do they invest their own money?</w:t>
      </w:r>
      <w:r>
        <w:t xml:space="preserve"> </w:t>
      </w:r>
      <w:r>
        <w:t xml:space="preserve">Alignment of interests matters.</w:t>
      </w:r>
    </w:p>
    <w:p>
      <w:pPr>
        <w:pStyle w:val="Compact"/>
        <w:numPr>
          <w:ilvl w:val="0"/>
          <w:numId w:val="1003"/>
        </w:numPr>
      </w:pPr>
      <w:r>
        <w:rPr>
          <w:b/>
          <w:bCs/>
        </w:rPr>
        <w:t xml:space="preserve">What references or testimonials exist?</w:t>
      </w:r>
      <w:r>
        <w:t xml:space="preserve"> </w:t>
      </w:r>
      <w:r>
        <w:t xml:space="preserve">Contact past investors or partners if possible.</w:t>
      </w:r>
    </w:p>
    <w:bookmarkEnd w:id="23"/>
    <w:bookmarkStart w:id="24" w:name="numbers-and-structure"/>
    <w:p>
      <w:pPr>
        <w:pStyle w:val="Heading2"/>
      </w:pPr>
      <w:r>
        <w:t xml:space="preserve">4. Numbers and Structure</w:t>
      </w:r>
    </w:p>
    <w:p>
      <w:pPr>
        <w:pStyle w:val="Compact"/>
        <w:numPr>
          <w:ilvl w:val="0"/>
          <w:numId w:val="1004"/>
        </w:numPr>
      </w:pPr>
      <w:r>
        <w:rPr>
          <w:b/>
          <w:bCs/>
        </w:rPr>
        <w:t xml:space="preserve">What are the projected returns?</w:t>
      </w:r>
      <w:r>
        <w:t xml:space="preserve"> </w:t>
      </w:r>
      <w:r>
        <w:t xml:space="preserve">Evaluate IRR, cash-on-cash, MOIC and compare with similar deals.</w:t>
      </w:r>
    </w:p>
    <w:p>
      <w:pPr>
        <w:pStyle w:val="Compact"/>
        <w:numPr>
          <w:ilvl w:val="0"/>
          <w:numId w:val="1004"/>
        </w:numPr>
      </w:pPr>
      <w:r>
        <w:rPr>
          <w:b/>
          <w:bCs/>
        </w:rPr>
        <w:t xml:space="preserve">How realistic are the projections?</w:t>
      </w:r>
      <w:r>
        <w:t xml:space="preserve"> </w:t>
      </w:r>
      <w:r>
        <w:t xml:space="preserve">Are rent growth, expense assumptions, or exit multiples conservative?</w:t>
      </w:r>
    </w:p>
    <w:p>
      <w:pPr>
        <w:pStyle w:val="Compact"/>
        <w:numPr>
          <w:ilvl w:val="0"/>
          <w:numId w:val="1004"/>
        </w:numPr>
      </w:pPr>
      <w:r>
        <w:rPr>
          <w:b/>
          <w:bCs/>
        </w:rPr>
        <w:t xml:space="preserve">Fees and incentives:</w:t>
      </w:r>
      <w:r>
        <w:t xml:space="preserve"> </w:t>
      </w:r>
      <w:r>
        <w:t xml:space="preserve">Understand acquisition fees, management fees, carried interest and how they affect your returns.</w:t>
      </w:r>
    </w:p>
    <w:bookmarkEnd w:id="24"/>
    <w:bookmarkStart w:id="25" w:name="fit-with-your-goals"/>
    <w:p>
      <w:pPr>
        <w:pStyle w:val="Heading2"/>
      </w:pPr>
      <w:r>
        <w:t xml:space="preserve">5. Fit With Your Goals</w:t>
      </w:r>
    </w:p>
    <w:p>
      <w:pPr>
        <w:pStyle w:val="Compact"/>
        <w:numPr>
          <w:ilvl w:val="0"/>
          <w:numId w:val="1005"/>
        </w:numPr>
      </w:pPr>
      <w:r>
        <w:rPr>
          <w:b/>
          <w:bCs/>
        </w:rPr>
        <w:t xml:space="preserve">Does this align with your risk tolerance?</w:t>
      </w:r>
      <w:r>
        <w:t xml:space="preserve"> </w:t>
      </w:r>
      <w:r>
        <w:t xml:space="preserve">Use your risk tolerance quiz results to decide.</w:t>
      </w:r>
    </w:p>
    <w:p>
      <w:pPr>
        <w:pStyle w:val="Compact"/>
        <w:numPr>
          <w:ilvl w:val="0"/>
          <w:numId w:val="1005"/>
        </w:numPr>
      </w:pPr>
      <w:r>
        <w:rPr>
          <w:b/>
          <w:bCs/>
        </w:rPr>
        <w:t xml:space="preserve">Does it support your time horizon?</w:t>
      </w:r>
      <w:r>
        <w:t xml:space="preserve"> </w:t>
      </w:r>
      <w:r>
        <w:t xml:space="preserve">For near‑term needs, choose less illiquid investments.</w:t>
      </w:r>
    </w:p>
    <w:p>
      <w:pPr>
        <w:pStyle w:val="Compact"/>
        <w:numPr>
          <w:ilvl w:val="0"/>
          <w:numId w:val="1005"/>
        </w:numPr>
      </w:pPr>
      <w:r>
        <w:rPr>
          <w:b/>
          <w:bCs/>
        </w:rPr>
        <w:t xml:space="preserve">Is it consistent with your values?</w:t>
      </w:r>
      <w:r>
        <w:t xml:space="preserve"> </w:t>
      </w:r>
      <w:r>
        <w:t xml:space="preserve">For example, impact investing vs. pure profit.</w:t>
      </w:r>
    </w:p>
    <w:bookmarkEnd w:id="25"/>
    <w:bookmarkStart w:id="27" w:name="next-steps"/>
    <w:p>
      <w:pPr>
        <w:pStyle w:val="Heading2"/>
      </w:pPr>
      <w:r>
        <w:t xml:space="preserve">6. Next Steps</w:t>
      </w:r>
    </w:p>
    <w:p>
      <w:pPr>
        <w:pStyle w:val="FirstParagraph"/>
      </w:pPr>
      <w:r>
        <w:t xml:space="preserve">If you’re satisfied with the answers, proceed with further due diligence. Otherwise, consider passing. To discuss a specific opportunity or to request our insights, send a note via our</w:t>
      </w:r>
      <w:r>
        <w:t xml:space="preserve"> </w:t>
      </w:r>
      <w:hyperlink r:id="rId26">
        <w:r>
          <w:rPr>
            <w:rStyle w:val="Hyperlink"/>
          </w:rPr>
          <w:t xml:space="preserve">custom request form</w:t>
        </w:r>
      </w:hyperlink>
      <w:r>
        <w:t xml:space="preserve"> </w:t>
      </w:r>
      <w:r>
        <w:t xml:space="preserve">and we’ll connect you with vetted partners and professionals.</w:t>
      </w:r>
    </w:p>
    <w:bookmarkEnd w:id="27"/>
    <w:bookmarkEnd w:id="28"/>
    <w:bookmarkEnd w:id="29"/>
    <w:p>
      <w:r>
        <w:pict>
          <v:rect style="width:0;height:1.5pt" o:hralign="center" o:hrstd="t" o:hr="t"/>
        </w:pict>
      </w:r>
    </w:p>
    <w:bookmarkStart w:id="30" w:name="citations"/>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gighz.com/custom-request/" TargetMode="External" /></Relationships>
</file>

<file path=word/_rels/footnotes.xml.rels><?xml version="1.0" encoding="UTF-8"?><Relationships xmlns="http://schemas.openxmlformats.org/package/2006/relationships"><Relationship Type="http://schemas.openxmlformats.org/officeDocument/2006/relationships/hyperlink" Id="rId26" Target="https://gighz.com/custom-reque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2025-08-12T04:19:05Z</dcterms:created>
  <dcterms:modified xsi:type="dcterms:W3CDTF">2025-08-12T04:19:05Z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