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30" w:name="content"/>
    <w:bookmarkStart w:id="29" w:name="real-estate-loan-types-cheat-sheet"/>
    <w:p>
      <w:pPr>
        <w:pStyle w:val="Heading1"/>
      </w:pPr>
      <w:r>
        <w:t xml:space="preserve">Real Estate Loan Types Cheat Sheet</w:t>
      </w:r>
    </w:p>
    <w:p>
      <w:pPr>
        <w:pStyle w:val="FirstParagraph"/>
      </w:pPr>
      <w:r>
        <w:t xml:space="preserve">This quick reference covers common loan types for real estate investors, especially physicians seeking to fund rental or commercial properties. It summarises key features, down payment requirements and considerations.</w:t>
      </w:r>
    </w:p>
    <w:bookmarkStart w:id="21" w:name="dscr-loan-debt-service-coverage-ratio"/>
    <w:p>
      <w:pPr>
        <w:pStyle w:val="Heading2"/>
      </w:pPr>
      <w:r>
        <w:t xml:space="preserve">DSCR Loan (Debt Service Coverage Ratio)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Qualification:</w:t>
      </w:r>
      <w:r>
        <w:t xml:space="preserve"> </w:t>
      </w:r>
      <w:r>
        <w:t xml:space="preserve">Based on rental income rather than personal income. Lenders look at the property’s debt service coverage ratio (net rent ÷ mortgage payment). Typical minimum DSCR is 1.2–1.25.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Down Payment:</w:t>
      </w:r>
      <w:r>
        <w:t xml:space="preserve"> </w:t>
      </w:r>
      <w:r>
        <w:t xml:space="preserve">15–20 %.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Use Case:</w:t>
      </w:r>
      <w:r>
        <w:t xml:space="preserve"> </w:t>
      </w:r>
      <w:r>
        <w:t xml:space="preserve">Investment properties where the property’s cash flow can support the loan. Allows investors to scale without W‑2 income requirements.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Considerations:</w:t>
      </w:r>
      <w:r>
        <w:t xml:space="preserve"> </w:t>
      </w:r>
      <w:r>
        <w:t xml:space="preserve">Slightly higher interest rates; may require reserve funds. Ideal for experienced investors.</w:t>
      </w:r>
    </w:p>
    <w:bookmarkEnd w:id="21"/>
    <w:bookmarkStart w:id="22" w:name="conventional-investment-mortgage"/>
    <w:p>
      <w:pPr>
        <w:pStyle w:val="Heading2"/>
      </w:pPr>
      <w:r>
        <w:t xml:space="preserve">Conventional Investment Mortgage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Qualification:</w:t>
      </w:r>
      <w:r>
        <w:t xml:space="preserve"> </w:t>
      </w:r>
      <w:r>
        <w:t xml:space="preserve">Debt‑to‑income ratio (DTI) based on borrower’s personal income and debt.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Down Payment:</w:t>
      </w:r>
      <w:r>
        <w:t xml:space="preserve"> </w:t>
      </w:r>
      <w:r>
        <w:t xml:space="preserve">Typically 20–25 %.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Use Case:</w:t>
      </w:r>
      <w:r>
        <w:t xml:space="preserve"> </w:t>
      </w:r>
      <w:r>
        <w:t xml:space="preserve">First few investment properties; long‑term fixed rates available.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Considerations:</w:t>
      </w:r>
      <w:r>
        <w:t xml:space="preserve"> </w:t>
      </w:r>
      <w:r>
        <w:t xml:space="preserve">DTI and number of mortgages can limit scalability. Good credit is essential.</w:t>
      </w:r>
    </w:p>
    <w:bookmarkEnd w:id="22"/>
    <w:bookmarkStart w:id="23" w:name="portfolio-loan"/>
    <w:p>
      <w:pPr>
        <w:pStyle w:val="Heading2"/>
      </w:pPr>
      <w:r>
        <w:t xml:space="preserve">Portfolio Loan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Qualification:</w:t>
      </w:r>
      <w:r>
        <w:t xml:space="preserve"> </w:t>
      </w:r>
      <w:r>
        <w:t xml:space="preserve">Lender keeps loan in their own portfolio, offering flexible underwriting.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Down Payment:</w:t>
      </w:r>
      <w:r>
        <w:t xml:space="preserve"> </w:t>
      </w:r>
      <w:r>
        <w:t xml:space="preserve">20–30 % (varies).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Use Case:</w:t>
      </w:r>
      <w:r>
        <w:t xml:space="preserve"> </w:t>
      </w:r>
      <w:r>
        <w:t xml:space="preserve">Investors with unique situations or multiple properties.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Considerations:</w:t>
      </w:r>
      <w:r>
        <w:t xml:space="preserve"> </w:t>
      </w:r>
      <w:r>
        <w:t xml:space="preserve">Rates may be higher; terms vary widely; relationship banking is important.</w:t>
      </w:r>
    </w:p>
    <w:bookmarkEnd w:id="23"/>
    <w:bookmarkStart w:id="24" w:name="hard-money-loan"/>
    <w:p>
      <w:pPr>
        <w:pStyle w:val="Heading2"/>
      </w:pPr>
      <w:r>
        <w:t xml:space="preserve">Hard Money Loan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Qualification:</w:t>
      </w:r>
      <w:r>
        <w:t xml:space="preserve"> </w:t>
      </w:r>
      <w:r>
        <w:t xml:space="preserve">Asset‑based; lender focuses on property value and exit strategy.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Down Payment:</w:t>
      </w:r>
      <w:r>
        <w:t xml:space="preserve"> </w:t>
      </w:r>
      <w:r>
        <w:t xml:space="preserve">10–20 % plus fees.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Use Case:</w:t>
      </w:r>
      <w:r>
        <w:t xml:space="preserve"> </w:t>
      </w:r>
      <w:r>
        <w:t xml:space="preserve">Fix‑and‑flip or short‑term projects requiring fast closing.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Considerations:</w:t>
      </w:r>
      <w:r>
        <w:t xml:space="preserve"> </w:t>
      </w:r>
      <w:r>
        <w:t xml:space="preserve">High interest rates and fees; short terms (6–12 months). Use only when necessary.</w:t>
      </w:r>
    </w:p>
    <w:bookmarkEnd w:id="24"/>
    <w:bookmarkStart w:id="25" w:name="fhava-multifamily-loan"/>
    <w:p>
      <w:pPr>
        <w:pStyle w:val="Heading2"/>
      </w:pPr>
      <w:r>
        <w:t xml:space="preserve">FHA/VA Multifamily Loan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Qualification:</w:t>
      </w:r>
      <w:r>
        <w:t xml:space="preserve"> </w:t>
      </w:r>
      <w:r>
        <w:t xml:space="preserve">Government‑backed; borrower must occupy one unit.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Down Payment:</w:t>
      </w:r>
      <w:r>
        <w:t xml:space="preserve"> </w:t>
      </w:r>
      <w:r>
        <w:t xml:space="preserve">As low as 3.5 % (FHA) or 0 % (VA).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Use Case:</w:t>
      </w:r>
      <w:r>
        <w:t xml:space="preserve"> </w:t>
      </w:r>
      <w:r>
        <w:t xml:space="preserve">House‑hacking for up to four units while living in one; building equity early.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Considerations:</w:t>
      </w:r>
      <w:r>
        <w:t xml:space="preserve"> </w:t>
      </w:r>
      <w:r>
        <w:t xml:space="preserve">Owner‑occupancy requirement; mortgage insurance premiums; property condition standards.</w:t>
      </w:r>
    </w:p>
    <w:bookmarkEnd w:id="25"/>
    <w:bookmarkStart w:id="26" w:name="sba-7a504-loan"/>
    <w:p>
      <w:pPr>
        <w:pStyle w:val="Heading2"/>
      </w:pPr>
      <w:r>
        <w:t xml:space="preserve">SBA 7(a)/504 Loan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Qualification:</w:t>
      </w:r>
      <w:r>
        <w:t xml:space="preserve"> </w:t>
      </w:r>
      <w:r>
        <w:t xml:space="preserve">Business must occupy or use 51 % of the property.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Down Payment:</w:t>
      </w:r>
      <w:r>
        <w:t xml:space="preserve"> </w:t>
      </w:r>
      <w:r>
        <w:t xml:space="preserve">Around 10–20 %.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Use Case:</w:t>
      </w:r>
      <w:r>
        <w:t xml:space="preserve"> </w:t>
      </w:r>
      <w:r>
        <w:t xml:space="preserve">Physician office buildings, clinics or other owner‑occupied commercial real estate.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Considerations:</w:t>
      </w:r>
      <w:r>
        <w:t xml:space="preserve"> </w:t>
      </w:r>
      <w:r>
        <w:t xml:space="preserve">Must meet SBA eligibility; longer approval process; competitive interest rates.</w:t>
      </w:r>
    </w:p>
    <w:bookmarkEnd w:id="26"/>
    <w:bookmarkStart w:id="28" w:name="next-steps"/>
    <w:p>
      <w:pPr>
        <w:pStyle w:val="Heading2"/>
      </w:pPr>
      <w:r>
        <w:t xml:space="preserve">Next Steps</w:t>
      </w:r>
    </w:p>
    <w:p>
      <w:pPr>
        <w:pStyle w:val="FirstParagraph"/>
      </w:pPr>
      <w:r>
        <w:t xml:space="preserve">For help evaluating loan options or introductions to lenders offering DSCR and investment mortgages, complete our</w:t>
      </w:r>
      <w:r>
        <w:t xml:space="preserve"> </w:t>
      </w:r>
      <w:hyperlink r:id="rId27">
        <w:r>
          <w:rPr>
            <w:rStyle w:val="Hyperlink"/>
          </w:rPr>
          <w:t xml:space="preserve">custom request form</w:t>
        </w:r>
      </w:hyperlink>
      <w:r>
        <w:t xml:space="preserve">. We partner with banks that provide 15–20 % down DSCR loans as well as lenders for conventional, portfolio and SBA financing.</w:t>
      </w:r>
    </w:p>
    <w:bookmarkEnd w:id="28"/>
    <w:bookmarkEnd w:id="29"/>
    <w:bookmarkEnd w:id="30"/>
    <w:p>
      <w:r>
        <w:pict>
          <v:rect style="width:0;height:1.5pt" o:hralign="center" o:hrstd="t" o:hr="t"/>
        </w:pict>
      </w:r>
    </w:p>
    <w:bookmarkStart w:id="31" w:name="citations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gighz.com/custom-requ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gighz.com/custom-reque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2025-08-12T04:23:04Z</dcterms:created>
  <dcterms:modified xsi:type="dcterms:W3CDTF">2025-08-12T04:23:04Z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