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0" w:name="header"/>
    <w:bookmarkEnd w:id="20"/>
    <w:bookmarkStart w:id="32" w:name="content"/>
    <w:bookmarkStart w:id="31" w:name="tax-savings-checklist"/>
    <w:p>
      <w:pPr>
        <w:pStyle w:val="Heading1"/>
      </w:pPr>
      <w:r>
        <w:t xml:space="preserve">Tax Savings Checklist</w:t>
      </w:r>
    </w:p>
    <w:p>
      <w:pPr>
        <w:pStyle w:val="FirstParagraph"/>
      </w:pPr>
      <w:r>
        <w:t xml:space="preserve">This checklist summarises strategies physicians and high‑income professionals can use to reduce taxable income legally. Consult with a qualified tax advisor before implementing any technique.</w:t>
      </w:r>
    </w:p>
    <w:bookmarkStart w:id="21" w:name="maximise-pretax-retirement-contributions"/>
    <w:p>
      <w:pPr>
        <w:pStyle w:val="Heading2"/>
      </w:pPr>
      <w:r>
        <w:t xml:space="preserve">1. Maximise Pre‑Tax Retirement Contributions</w:t>
      </w:r>
    </w:p>
    <w:p>
      <w:pPr>
        <w:pStyle w:val="Compact"/>
        <w:numPr>
          <w:ilvl w:val="0"/>
          <w:numId w:val="1001"/>
        </w:numPr>
      </w:pPr>
      <w:r>
        <w:t xml:space="preserve">Contribute to</w:t>
      </w:r>
      <w:r>
        <w:t xml:space="preserve"> </w:t>
      </w:r>
      <w:r>
        <w:rPr>
          <w:b/>
          <w:bCs/>
        </w:rPr>
        <w:t xml:space="preserve">401(k)</w:t>
      </w:r>
      <w:r>
        <w:t xml:space="preserve"> </w:t>
      </w:r>
      <w:r>
        <w:t xml:space="preserve">or</w:t>
      </w:r>
      <w:r>
        <w:t xml:space="preserve"> </w:t>
      </w:r>
      <w:r>
        <w:rPr>
          <w:b/>
          <w:bCs/>
        </w:rPr>
        <w:t xml:space="preserve">403(b)</w:t>
      </w:r>
      <w:r>
        <w:t xml:space="preserve"> </w:t>
      </w:r>
      <w:r>
        <w:t xml:space="preserve">plan up to IRS limits (including catch‑up contributions if over age 50).</w:t>
      </w:r>
    </w:p>
    <w:p>
      <w:pPr>
        <w:pStyle w:val="Compact"/>
        <w:numPr>
          <w:ilvl w:val="0"/>
          <w:numId w:val="1001"/>
        </w:numPr>
      </w:pPr>
      <w:r>
        <w:t xml:space="preserve">Contribute to</w:t>
      </w:r>
      <w:r>
        <w:t xml:space="preserve"> </w:t>
      </w:r>
      <w:r>
        <w:rPr>
          <w:b/>
          <w:bCs/>
        </w:rPr>
        <w:t xml:space="preserve">Traditional IRA</w:t>
      </w:r>
      <w:r>
        <w:t xml:space="preserve"> </w:t>
      </w:r>
      <w:r>
        <w:t xml:space="preserve">or</w:t>
      </w:r>
      <w:r>
        <w:t xml:space="preserve"> </w:t>
      </w:r>
      <w:r>
        <w:rPr>
          <w:b/>
          <w:bCs/>
        </w:rPr>
        <w:t xml:space="preserve">SEP IRA</w:t>
      </w:r>
      <w:r>
        <w:t xml:space="preserve"> </w:t>
      </w:r>
      <w:r>
        <w:t xml:space="preserve">if you have eligible earned income.</w:t>
      </w:r>
    </w:p>
    <w:p>
      <w:pPr>
        <w:pStyle w:val="Compact"/>
        <w:numPr>
          <w:ilvl w:val="0"/>
          <w:numId w:val="1001"/>
        </w:numPr>
      </w:pPr>
      <w:r>
        <w:t xml:space="preserve">Consider</w:t>
      </w:r>
      <w:r>
        <w:t xml:space="preserve"> </w:t>
      </w:r>
      <w:r>
        <w:rPr>
          <w:b/>
          <w:bCs/>
        </w:rPr>
        <w:t xml:space="preserve">Solo 401(k)</w:t>
      </w:r>
      <w:r>
        <w:t xml:space="preserve"> </w:t>
      </w:r>
      <w:r>
        <w:t xml:space="preserve">for 1099 or self‑employed income.</w:t>
      </w:r>
    </w:p>
    <w:bookmarkEnd w:id="21"/>
    <w:bookmarkStart w:id="22" w:name="utilise-taxadvantaged-accounts"/>
    <w:p>
      <w:pPr>
        <w:pStyle w:val="Heading2"/>
      </w:pPr>
      <w:r>
        <w:t xml:space="preserve">2. Utilise Tax‑Advantaged Accounts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Health Savings Account (HSA):</w:t>
      </w:r>
      <w:r>
        <w:t xml:space="preserve"> </w:t>
      </w:r>
      <w:r>
        <w:t xml:space="preserve">Triple tax benefit (pre‑tax contributions, tax‑free growth, and tax‑free withdrawals for qualified medical expenses).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Dependent Care FSA:</w:t>
      </w:r>
      <w:r>
        <w:t xml:space="preserve"> </w:t>
      </w:r>
      <w:r>
        <w:t xml:space="preserve">Reduce taxable income by setting aside funds for childcare.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529 Plan:</w:t>
      </w:r>
      <w:r>
        <w:t xml:space="preserve"> </w:t>
      </w:r>
      <w:r>
        <w:t xml:space="preserve">Contribute to education savings; some states offer deductions on contributions.</w:t>
      </w:r>
    </w:p>
    <w:bookmarkEnd w:id="22"/>
    <w:bookmarkStart w:id="23" w:name="leverage-real-estate-deductions"/>
    <w:p>
      <w:pPr>
        <w:pStyle w:val="Heading2"/>
      </w:pPr>
      <w:r>
        <w:t xml:space="preserve">3. Leverage Real Estate Deductions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Depreciation:</w:t>
      </w:r>
      <w:r>
        <w:t xml:space="preserve"> </w:t>
      </w:r>
      <w:r>
        <w:t xml:space="preserve">Offset rental income with depreciation of buildings and improvements.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Cost Segregation Studies:</w:t>
      </w:r>
      <w:r>
        <w:t xml:space="preserve"> </w:t>
      </w:r>
      <w:r>
        <w:t xml:space="preserve">Accelerate depreciation by segregating components into shorter schedules.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Section 8/HUD Rentals:</w:t>
      </w:r>
      <w:r>
        <w:t xml:space="preserve"> </w:t>
      </w:r>
      <w:r>
        <w:t xml:space="preserve">Income is usually reliable; works well with DSCR loans.</w:t>
      </w:r>
    </w:p>
    <w:bookmarkEnd w:id="23"/>
    <w:bookmarkStart w:id="24" w:name="oil-and-gas-investments"/>
    <w:p>
      <w:pPr>
        <w:pStyle w:val="Heading2"/>
      </w:pPr>
      <w:r>
        <w:t xml:space="preserve">4. Oil and Gas Investments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Intangible Drilling Costs (IDC):</w:t>
      </w:r>
      <w:r>
        <w:t xml:space="preserve"> </w:t>
      </w:r>
      <w:r>
        <w:t xml:space="preserve">Deduct 70–80 % of investment in first year; sheltered against ordinary income.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Depletion Allowance:</w:t>
      </w:r>
      <w:r>
        <w:t xml:space="preserve"> </w:t>
      </w:r>
      <w:r>
        <w:t xml:space="preserve">Deduct a percentage of revenue from the sale of oil or gas.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Active Participation:</w:t>
      </w:r>
      <w:r>
        <w:t xml:space="preserve"> </w:t>
      </w:r>
      <w:r>
        <w:t xml:space="preserve">Under IRS §469(c)(3), certain energy investments can offset active income if properly structured.</w:t>
      </w:r>
    </w:p>
    <w:bookmarkEnd w:id="24"/>
    <w:bookmarkStart w:id="25" w:name="charitable-giving"/>
    <w:p>
      <w:pPr>
        <w:pStyle w:val="Heading2"/>
      </w:pPr>
      <w:r>
        <w:t xml:space="preserve">5. Charitable Giving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Donor‑Advised Fund (DAF):</w:t>
      </w:r>
      <w:r>
        <w:t xml:space="preserve"> </w:t>
      </w:r>
      <w:r>
        <w:t xml:space="preserve">Get an immediate deduction (up to 60 % of AGI for cash; 30 % for appreciated stock).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Private Foundation:</w:t>
      </w:r>
      <w:r>
        <w:t xml:space="preserve"> </w:t>
      </w:r>
      <w:r>
        <w:t xml:space="preserve">Larger control and potential to sell appreciated assets without capital gains; requires formal setup and maintenance.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Qualified Charitable Distributions (QCD):</w:t>
      </w:r>
      <w:r>
        <w:t xml:space="preserve"> </w:t>
      </w:r>
      <w:r>
        <w:t xml:space="preserve">Donate directly from IRA if over age 70½ to satisfy required minimum distribution.</w:t>
      </w:r>
    </w:p>
    <w:bookmarkEnd w:id="25"/>
    <w:bookmarkStart w:id="26" w:name="business-and-professional-deductions"/>
    <w:p>
      <w:pPr>
        <w:pStyle w:val="Heading2"/>
      </w:pPr>
      <w:r>
        <w:t xml:space="preserve">6. Business and Professional Deductions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Professional Development:</w:t>
      </w:r>
      <w:r>
        <w:t xml:space="preserve"> </w:t>
      </w:r>
      <w:r>
        <w:t xml:space="preserve">Deduct conferences, training and licensing fees.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Home Office:</w:t>
      </w:r>
      <w:r>
        <w:t xml:space="preserve"> </w:t>
      </w:r>
      <w:r>
        <w:t xml:space="preserve">If you have a dedicated workspace for business or 1099 work, deduct a portion of rent and utilities.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Entity Choice:</w:t>
      </w:r>
      <w:r>
        <w:t xml:space="preserve"> </w:t>
      </w:r>
      <w:r>
        <w:t xml:space="preserve">S‑Corp or C‑Corp could reduce self‑employment tax; evaluate with an accountant.</w:t>
      </w:r>
    </w:p>
    <w:bookmarkEnd w:id="26"/>
    <w:bookmarkStart w:id="27" w:name="timing-strategies"/>
    <w:p>
      <w:pPr>
        <w:pStyle w:val="Heading2"/>
      </w:pPr>
      <w:r>
        <w:t xml:space="preserve">7. Timing Strategies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Harvest Tax Losses:</w:t>
      </w:r>
      <w:r>
        <w:t xml:space="preserve"> </w:t>
      </w:r>
      <w:r>
        <w:t xml:space="preserve">Sell losing investments to offset gains; beware of wash sale rules.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Defer Income / Accelerate Expenses:</w:t>
      </w:r>
      <w:r>
        <w:t xml:space="preserve"> </w:t>
      </w:r>
      <w:r>
        <w:t xml:space="preserve">Shift income to a lower tax year; prepay deductible expenses when appropriate.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Roth Conversions:</w:t>
      </w:r>
      <w:r>
        <w:t xml:space="preserve"> </w:t>
      </w:r>
      <w:r>
        <w:t xml:space="preserve">Convert pre‑tax retirement funds during low‑income years to lock in lower tax rates.</w:t>
      </w:r>
    </w:p>
    <w:bookmarkEnd w:id="27"/>
    <w:bookmarkStart w:id="30" w:name="consultation-documentation"/>
    <w:p>
      <w:pPr>
        <w:pStyle w:val="Heading2"/>
      </w:pPr>
      <w:r>
        <w:t xml:space="preserve">8. Consultation &amp; Documentation</w:t>
      </w:r>
    </w:p>
    <w:p>
      <w:pPr>
        <w:pStyle w:val="FirstParagraph"/>
      </w:pPr>
      <w:r>
        <w:t xml:space="preserve">Always maintain detailed records of expenses, contributions, and investment documentation. Work closely with a CPA or tax attorney to ensure strategies are implemented correctly and take advantage of state‑specific opportunities.</w:t>
      </w:r>
    </w:p>
    <w:p>
      <w:pPr>
        <w:pStyle w:val="BodyText"/>
      </w:pPr>
      <w:r>
        <w:t xml:space="preserve">For introductions to blue‑ribbon accountants, tax strategists or attorneys, contact us via</w:t>
      </w:r>
      <w:r>
        <w:t xml:space="preserve"> </w:t>
      </w:r>
      <w:hyperlink r:id="rId28">
        <w:r>
          <w:rPr>
            <w:rStyle w:val="Hyperlink"/>
          </w:rPr>
          <w:t xml:space="preserve">Signal@GigHz.com</w:t>
        </w:r>
      </w:hyperlink>
      <w:r>
        <w:t xml:space="preserve"> </w:t>
      </w:r>
      <w:r>
        <w:t xml:space="preserve">or submit your needs through our</w:t>
      </w:r>
      <w:r>
        <w:t xml:space="preserve"> </w:t>
      </w:r>
      <w:hyperlink r:id="rId29">
        <w:r>
          <w:rPr>
            <w:rStyle w:val="Hyperlink"/>
          </w:rPr>
          <w:t xml:space="preserve">custom request page</w:t>
        </w:r>
      </w:hyperlink>
      <w:r>
        <w:t xml:space="preserve">.</w:t>
      </w:r>
    </w:p>
    <w:bookmarkEnd w:id="30"/>
    <w:bookmarkEnd w:id="31"/>
    <w:bookmarkEnd w:id="32"/>
    <w:p>
      <w:r>
        <w:pict>
          <v:rect style="width:0;height:1.5pt" o:hralign="center" o:hrstd="t" o:hr="t"/>
        </w:pict>
      </w:r>
    </w:p>
    <w:bookmarkStart w:id="33" w:name="citations"/>
    <w:bookmarkEnd w:id="3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pacing w:val="-10"/>
      <w:kern w:val="28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pacing w:val="-10"/>
      <w:kern w:val="28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9" Target="https://gighz.com/custom-request/" TargetMode="External" /><Relationship Type="http://schemas.openxmlformats.org/officeDocument/2006/relationships/hyperlink" Id="rId28" Target="mailto:Signal@GigHz.com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9" Target="https://gighz.com/custom-request/" TargetMode="External" /><Relationship Type="http://schemas.openxmlformats.org/officeDocument/2006/relationships/hyperlink" Id="rId28" Target="mailto:Signal@GigHz.com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dc:language>en</dc:language>
  <cp:keywords/>
  <dcterms:created xsi:type="dcterms:W3CDTF">2025-08-12T04:23:51Z</dcterms:created>
  <dcterms:modified xsi:type="dcterms:W3CDTF">2025-08-12T04:23:51Z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enerator">
    <vt:lpwstr>ChatGPT Deep Research</vt:lpwstr>
  </property>
</Properties>
</file>